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C3" w:rsidRDefault="00802FC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02FC3" w:rsidRDefault="00802FC3">
      <w:pPr>
        <w:pStyle w:val="ConsPlusNormal"/>
        <w:jc w:val="both"/>
      </w:pPr>
    </w:p>
    <w:p w:rsidR="00802FC3" w:rsidRDefault="00802FC3">
      <w:pPr>
        <w:pStyle w:val="ConsPlusTitle"/>
        <w:jc w:val="center"/>
      </w:pPr>
      <w:r>
        <w:t>МИНИСТЕРСТВО ФИНАНСОВ РОССИЙСКОЙ ФЕДЕРАЦИИ</w:t>
      </w:r>
    </w:p>
    <w:p w:rsidR="00802FC3" w:rsidRDefault="00802FC3">
      <w:pPr>
        <w:pStyle w:val="ConsPlusTitle"/>
        <w:jc w:val="center"/>
      </w:pPr>
    </w:p>
    <w:p w:rsidR="00802FC3" w:rsidRDefault="00802FC3">
      <w:pPr>
        <w:pStyle w:val="ConsPlusTitle"/>
        <w:jc w:val="center"/>
      </w:pPr>
      <w:r>
        <w:t>ПИСЬМО</w:t>
      </w:r>
    </w:p>
    <w:p w:rsidR="00802FC3" w:rsidRDefault="00802FC3">
      <w:pPr>
        <w:pStyle w:val="ConsPlusTitle"/>
        <w:jc w:val="center"/>
      </w:pPr>
      <w:r>
        <w:t>от 24 сентября 2015 г. N 05-07-05/54791</w:t>
      </w:r>
    </w:p>
    <w:p w:rsidR="00802FC3" w:rsidRDefault="00802FC3">
      <w:pPr>
        <w:pStyle w:val="ConsPlusNormal"/>
        <w:jc w:val="center"/>
      </w:pPr>
    </w:p>
    <w:p w:rsidR="00802FC3" w:rsidRDefault="00802FC3">
      <w:pPr>
        <w:pStyle w:val="ConsPlusNormal"/>
        <w:ind w:firstLine="540"/>
        <w:jc w:val="both"/>
      </w:pPr>
      <w:r>
        <w:t>Министерство финансов Российской Федерации по вопросу о разъяснении порядка обеспечения исполнения государственного контракта, в случае, если у кредитной организации, предоставившей банковскую гарантию исполнителю по заключенному государственному контракту, отозвана лицензия, сообщает следующее.</w:t>
      </w:r>
    </w:p>
    <w:p w:rsidR="00802FC3" w:rsidRDefault="00802FC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Регламентом</w:t>
        </w:r>
      </w:hyperlink>
      <w:r>
        <w:t xml:space="preserve"> Министерства финансов Российской Федерации, утвержденным приказом Минфина России (далее - Министерство) от 15 июня 2012 г. N 82н, в Министерстве, если законодательством не установлено иное, не рассматриваются по существу обращения по разъяснению (толкованию норм, терминов и понятий) законодательства Российской Федерации и практики его применения, по практике применения нормативных правовых актов Министерства, по проведению экспертизы договоров, учредительных и</w:t>
      </w:r>
      <w:proofErr w:type="gramEnd"/>
      <w:r>
        <w:t xml:space="preserve"> иных документов организаций, по оценке конкретных хозяйственных ситуаций.</w:t>
      </w:r>
    </w:p>
    <w:p w:rsidR="00802FC3" w:rsidRDefault="00802FC3">
      <w:pPr>
        <w:pStyle w:val="ConsPlusNormal"/>
        <w:ind w:firstLine="540"/>
        <w:jc w:val="both"/>
      </w:pPr>
      <w:r>
        <w:t>Вместе с тем считаем необходимым отметить следующее.</w:t>
      </w:r>
    </w:p>
    <w:p w:rsidR="00802FC3" w:rsidRDefault="00802FC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1 статьи 45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заказчики в качестве обеспечения заявок и исполнения контрактов принимают банковские гарантии, выданные банками, включенными в предусмотренный </w:t>
      </w:r>
      <w:hyperlink r:id="rId8" w:history="1">
        <w:r>
          <w:rPr>
            <w:color w:val="0000FF"/>
          </w:rPr>
          <w:t>статьей 74.1</w:t>
        </w:r>
      </w:hyperlink>
      <w:r>
        <w:t xml:space="preserve"> Налогового кодекса Российской Федерации (далее - НК</w:t>
      </w:r>
      <w:proofErr w:type="gramEnd"/>
      <w:r>
        <w:t xml:space="preserve"> </w:t>
      </w:r>
      <w:proofErr w:type="gramStart"/>
      <w:r>
        <w:t>РФ) перечень банков, отвечающих установленным требованиям для принятия банковских гарантий в целях налогообложения (далее - перечень).</w:t>
      </w:r>
      <w:proofErr w:type="gramEnd"/>
    </w:p>
    <w:p w:rsidR="00802FC3" w:rsidRDefault="00802FC3">
      <w:pPr>
        <w:pStyle w:val="ConsPlusNormal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пункту 3 статьи 74.1</w:t>
        </w:r>
      </w:hyperlink>
      <w:r>
        <w:t xml:space="preserve"> НК РФ для включения в перечень у банка должна </w:t>
      </w:r>
      <w:proofErr w:type="gramStart"/>
      <w:r>
        <w:t>быть</w:t>
      </w:r>
      <w:proofErr w:type="gramEnd"/>
      <w:r>
        <w:t xml:space="preserve"> в том числе лицензия на осуществление банковских операций, выданная Центральным банком Российской Федерации, и осуществление банковской деятельности в течение не менее пяти лет.</w:t>
      </w:r>
    </w:p>
    <w:p w:rsidR="00802FC3" w:rsidRDefault="00802FC3">
      <w:pPr>
        <w:pStyle w:val="ConsPlusNormal"/>
        <w:ind w:firstLine="540"/>
        <w:jc w:val="both"/>
      </w:pPr>
      <w:proofErr w:type="gramStart"/>
      <w:r>
        <w:t>В случае выявления обстоятельств, свидетельствующих о соответствии банка, не включенного в перечень, установленным требованиям либо о несоответствии банка, включенного в перечень, установленным требованиям, такие сведения направляются Банком России в Министерство финансов Российской Федерации в течение пяти дней со дня выявления указанных обстоятельств для внесения соответствующих изменений в перечень (</w:t>
      </w:r>
      <w:hyperlink r:id="rId10" w:history="1">
        <w:r>
          <w:rPr>
            <w:color w:val="0000FF"/>
          </w:rPr>
          <w:t>пункт 4 статьи 74.1</w:t>
        </w:r>
      </w:hyperlink>
      <w:r>
        <w:t xml:space="preserve"> НК РФ).</w:t>
      </w:r>
      <w:proofErr w:type="gramEnd"/>
    </w:p>
    <w:p w:rsidR="00802FC3" w:rsidRDefault="00802FC3">
      <w:pPr>
        <w:pStyle w:val="ConsPlusNormal"/>
        <w:ind w:firstLine="540"/>
        <w:jc w:val="both"/>
      </w:pPr>
      <w:r>
        <w:t xml:space="preserve">Кроме того, отмечаем, что </w:t>
      </w:r>
      <w:hyperlink r:id="rId11" w:history="1">
        <w:r>
          <w:rPr>
            <w:color w:val="0000FF"/>
          </w:rPr>
          <w:t>статьей 20</w:t>
        </w:r>
      </w:hyperlink>
      <w:r>
        <w:t xml:space="preserve"> Федерального закона от 2 декабря 1990 г. N 395-1 "О банках и банковской деятельности" (далее - Закон) установлены основания, по которым Банк России может отозвать у кредитной организации лицензию на осуществление банковских операций.</w:t>
      </w:r>
    </w:p>
    <w:p w:rsidR="00802FC3" w:rsidRDefault="00802FC3">
      <w:pPr>
        <w:pStyle w:val="ConsPlusNormal"/>
        <w:ind w:firstLine="540"/>
        <w:jc w:val="both"/>
      </w:pPr>
      <w:r>
        <w:t xml:space="preserve">В случае отзыва у кредитной организации лицензии на осуществление банковских операций кредитная организация должна быть ликвидирована в соответствии с требованиями </w:t>
      </w:r>
      <w:hyperlink r:id="rId12" w:history="1">
        <w:r>
          <w:rPr>
            <w:color w:val="0000FF"/>
          </w:rPr>
          <w:t>статьи 23.1</w:t>
        </w:r>
      </w:hyperlink>
      <w:r>
        <w:t xml:space="preserve"> Закона, а в случае признания ее банкротом - в соответствии с требованиями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26 октября 2002 г. N 127-ФЗ "О несостоятельности (банкротстве)" (</w:t>
      </w:r>
      <w:hyperlink r:id="rId14" w:history="1">
        <w:r>
          <w:rPr>
            <w:color w:val="0000FF"/>
          </w:rPr>
          <w:t>статья 20</w:t>
        </w:r>
      </w:hyperlink>
      <w:r>
        <w:t xml:space="preserve"> Закона).</w:t>
      </w:r>
    </w:p>
    <w:p w:rsidR="00802FC3" w:rsidRDefault="00802FC3">
      <w:pPr>
        <w:pStyle w:val="ConsPlusNormal"/>
        <w:ind w:firstLine="540"/>
        <w:jc w:val="both"/>
      </w:pPr>
      <w:r>
        <w:t xml:space="preserve">В этой связи полагаем возможным отметить, что в соответствии с </w:t>
      </w:r>
      <w:hyperlink r:id="rId15" w:history="1">
        <w:r>
          <w:rPr>
            <w:color w:val="0000FF"/>
          </w:rPr>
          <w:t>пунктом 1 статьи 371</w:t>
        </w:r>
      </w:hyperlink>
      <w:r>
        <w:t xml:space="preserve"> Гражданского кодекса Российской Федерации (далее - ГК РФ) независимая гарантия, которой в том числе является банковская гарантия, не может быть отозвана или изменена гарантом, если в ней не предусмотрено иное.</w:t>
      </w:r>
    </w:p>
    <w:p w:rsidR="00802FC3" w:rsidRDefault="00802FC3">
      <w:pPr>
        <w:pStyle w:val="ConsPlusNormal"/>
        <w:ind w:firstLine="540"/>
        <w:jc w:val="both"/>
      </w:pPr>
      <w:proofErr w:type="gramStart"/>
      <w:r>
        <w:t xml:space="preserve">Кроме того, в </w:t>
      </w:r>
      <w:hyperlink r:id="rId16" w:history="1">
        <w:r>
          <w:rPr>
            <w:color w:val="0000FF"/>
          </w:rPr>
          <w:t>пункте 1 статьи 378</w:t>
        </w:r>
      </w:hyperlink>
      <w:r>
        <w:t xml:space="preserve"> ГК РФ установлен исчерпывающий перечень случаев прекращения обязательств по независимой гарантии, а именно: уплата бенефициару суммы, на которую выдана независимая гарантия; окончание определенного в независимой гарантии срока, на который она выдана; вследствие отказа бенефициара от своих прав по гарантии; по соглашению гаранта с бенефициаром о прекращении этого обязательства.</w:t>
      </w:r>
      <w:proofErr w:type="gramEnd"/>
    </w:p>
    <w:p w:rsidR="00802FC3" w:rsidRDefault="00802FC3">
      <w:pPr>
        <w:pStyle w:val="ConsPlusNormal"/>
        <w:ind w:firstLine="540"/>
        <w:jc w:val="both"/>
      </w:pPr>
      <w:r>
        <w:t xml:space="preserve">При этом обращаем внимание, что в соответствии со </w:t>
      </w:r>
      <w:hyperlink r:id="rId17" w:history="1">
        <w:r>
          <w:rPr>
            <w:color w:val="0000FF"/>
          </w:rPr>
          <w:t>статьей 419</w:t>
        </w:r>
      </w:hyperlink>
      <w:r>
        <w:t xml:space="preserve"> ГК РФ обязательство прекращается ликвидацией юридического лица (должника или кредитора), кроме случаев, когда </w:t>
      </w:r>
      <w:r>
        <w:lastRenderedPageBreak/>
        <w:t>законом или иными правовыми актами исполнение обязательства ликвидированного юридического лица возлагается на другое лицо (по требованиям о возмещении вреда, причиненного жизни или здоровью, и др.).</w:t>
      </w:r>
    </w:p>
    <w:p w:rsidR="00802FC3" w:rsidRDefault="00802FC3">
      <w:pPr>
        <w:pStyle w:val="ConsPlusNormal"/>
        <w:ind w:firstLine="540"/>
        <w:jc w:val="both"/>
      </w:pPr>
      <w:r>
        <w:t>Учитывая изложенное, с целью урегулирования обязательств по банковской гарантии, с учетом условий ее предоставления, юридическое лицо вправе обратиться к ликвидатору (конкурсному управляющему) кредитной организации.</w:t>
      </w:r>
    </w:p>
    <w:p w:rsidR="00802FC3" w:rsidRDefault="00802FC3">
      <w:pPr>
        <w:pStyle w:val="ConsPlusNormal"/>
        <w:ind w:firstLine="540"/>
        <w:jc w:val="both"/>
      </w:pPr>
    </w:p>
    <w:p w:rsidR="00802FC3" w:rsidRDefault="00802FC3">
      <w:pPr>
        <w:pStyle w:val="ConsPlusNormal"/>
        <w:jc w:val="right"/>
      </w:pPr>
      <w:r>
        <w:t>А.В.МОИСЕЕВ</w:t>
      </w:r>
    </w:p>
    <w:p w:rsidR="00802FC3" w:rsidRDefault="00802FC3">
      <w:pPr>
        <w:pStyle w:val="ConsPlusNormal"/>
        <w:ind w:firstLine="540"/>
        <w:jc w:val="both"/>
      </w:pPr>
    </w:p>
    <w:p w:rsidR="00802FC3" w:rsidRDefault="00802FC3">
      <w:pPr>
        <w:pStyle w:val="ConsPlusNormal"/>
        <w:ind w:firstLine="540"/>
        <w:jc w:val="both"/>
      </w:pPr>
    </w:p>
    <w:p w:rsidR="00802FC3" w:rsidRDefault="00802F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BEB" w:rsidRDefault="002F6BEB">
      <w:bookmarkStart w:id="0" w:name="_GoBack"/>
      <w:bookmarkEnd w:id="0"/>
    </w:p>
    <w:sectPr w:rsidR="002F6BEB" w:rsidSect="0091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C3"/>
    <w:rsid w:val="002F6BEB"/>
    <w:rsid w:val="0080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2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2F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2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2F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18C260AF53A54157DF4762B83C00894A3CD857467D5C3DC4C505407A9E63F4CA249D288624EA2FF" TargetMode="External"/><Relationship Id="rId13" Type="http://schemas.openxmlformats.org/officeDocument/2006/relationships/hyperlink" Target="consultantplus://offline/ref=E218C260AF53A54157DF4762B83C00894A3CD85D46755C3DC4C505407AE92E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18C260AF53A54157DF4762B83C00894A33DC5B41715C3DC4C505407A9E63F4CA249D2B8022A1D4E520F" TargetMode="External"/><Relationship Id="rId12" Type="http://schemas.openxmlformats.org/officeDocument/2006/relationships/hyperlink" Target="consultantplus://offline/ref=E218C260AF53A54157DF4762B83C00894A3CD95E437C5C3DC4C505407A9E63F4CA249D2B8023ADDFE527F" TargetMode="External"/><Relationship Id="rId17" Type="http://schemas.openxmlformats.org/officeDocument/2006/relationships/hyperlink" Target="consultantplus://offline/ref=E218C260AF53A54157DF4762B83C00894A33D95B43725C3DC4C505407A9E63F4CA249D2B8022A0D4E524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18C260AF53A54157DF4762B83C00894A33D95B43725C3DC4C505407A9E63F4CA249D2B8025ACED2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18C260AF53A54157DF4762B83C00894A31DD594D765C3DC4C505407A9E63F4CA249D2B8023A9DDE524F" TargetMode="External"/><Relationship Id="rId11" Type="http://schemas.openxmlformats.org/officeDocument/2006/relationships/hyperlink" Target="consultantplus://offline/ref=E218C260AF53A54157DF4762B83C00894A3CD95E437C5C3DC4C505407A9E63F4CA249D2B8023A8D4E524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218C260AF53A54157DF4762B83C00894A33D95B43725C3DC4C505407A9E63F4CA249D2B8025ABED24F" TargetMode="External"/><Relationship Id="rId10" Type="http://schemas.openxmlformats.org/officeDocument/2006/relationships/hyperlink" Target="consultantplus://offline/ref=E218C260AF53A54157DF4762B83C00894A3CD857467D5C3DC4C505407A9E63F4CA249D28862BEA2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18C260AF53A54157DF4762B83C00894A3CD857467D5C3DC4C505407A9E63F4CA249D288624EA20F" TargetMode="External"/><Relationship Id="rId14" Type="http://schemas.openxmlformats.org/officeDocument/2006/relationships/hyperlink" Target="consultantplus://offline/ref=E218C260AF53A54157DF4762B83C00894A3CD95E437C5C3DC4C505407A9E63F4CA249D2B8023A8D4E52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2015-12-07T05:54:00Z</dcterms:created>
  <dcterms:modified xsi:type="dcterms:W3CDTF">2015-12-07T05:54:00Z</dcterms:modified>
</cp:coreProperties>
</file>